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BF" w:rsidRPr="00D76EBF" w:rsidRDefault="00D76EBF" w:rsidP="00D76EBF">
      <w:pPr>
        <w:widowControl w:val="0"/>
        <w:autoSpaceDE w:val="0"/>
        <w:autoSpaceDN w:val="0"/>
        <w:adjustRightInd w:val="0"/>
        <w:spacing w:before="120" w:after="200" w:line="360" w:lineRule="auto"/>
        <w:textAlignment w:val="center"/>
        <w:rPr>
          <w:rFonts w:ascii="Calibri" w:hAnsi="Calibri" w:cs="Calibri"/>
          <w:color w:val="000000"/>
          <w:sz w:val="22"/>
          <w:szCs w:val="22"/>
        </w:rPr>
      </w:pPr>
      <w:r w:rsidRPr="00D76EBF">
        <w:rPr>
          <w:rFonts w:ascii="Calibri" w:hAnsi="Calibri" w:cs="Calibri"/>
          <w:color w:val="000000"/>
          <w:sz w:val="22"/>
          <w:szCs w:val="22"/>
        </w:rPr>
        <w:t>AWWOP</w:t>
      </w:r>
      <w:r>
        <w:rPr>
          <w:rFonts w:ascii="Calibri" w:hAnsi="Calibri" w:cs="Calibri"/>
          <w:color w:val="000000"/>
          <w:sz w:val="22"/>
          <w:szCs w:val="22"/>
        </w:rPr>
        <w:t xml:space="preserve"> </w:t>
      </w:r>
      <w:bookmarkStart w:id="0" w:name="_GoBack"/>
      <w:bookmarkEnd w:id="0"/>
      <w:r w:rsidRPr="00D76EBF">
        <w:rPr>
          <w:rFonts w:ascii="Calibri" w:hAnsi="Calibri" w:cs="Calibri"/>
          <w:color w:val="000000"/>
          <w:sz w:val="22"/>
          <w:szCs w:val="22"/>
        </w:rPr>
        <w:t>Sunday.17</w:t>
      </w:r>
    </w:p>
    <w:p w:rsidR="00D76EBF" w:rsidRPr="00D76EBF" w:rsidRDefault="00D76EBF" w:rsidP="00D76EBF">
      <w:pPr>
        <w:widowControl w:val="0"/>
        <w:autoSpaceDE w:val="0"/>
        <w:autoSpaceDN w:val="0"/>
        <w:adjustRightInd w:val="0"/>
        <w:spacing w:before="120" w:after="200" w:line="360" w:lineRule="auto"/>
        <w:textAlignment w:val="center"/>
        <w:rPr>
          <w:rFonts w:ascii="Calibri" w:hAnsi="Calibri" w:cs="Calibri"/>
          <w:color w:val="000000"/>
          <w:sz w:val="22"/>
          <w:szCs w:val="22"/>
        </w:rPr>
      </w:pPr>
      <w:r w:rsidRPr="00D76EBF">
        <w:rPr>
          <w:rFonts w:ascii="Calibri" w:hAnsi="Calibri" w:cs="Calibri"/>
          <w:color w:val="000000"/>
          <w:sz w:val="22"/>
          <w:szCs w:val="22"/>
        </w:rPr>
        <w:t>AW WOP</w:t>
      </w:r>
    </w:p>
    <w:p w:rsidR="00D76EBF" w:rsidRPr="00D76EBF" w:rsidRDefault="00D76EBF" w:rsidP="00D76EBF">
      <w:pPr>
        <w:widowControl w:val="0"/>
        <w:autoSpaceDE w:val="0"/>
        <w:autoSpaceDN w:val="0"/>
        <w:adjustRightInd w:val="0"/>
        <w:spacing w:before="120" w:after="200" w:line="360" w:lineRule="auto"/>
        <w:textAlignment w:val="center"/>
        <w:rPr>
          <w:rFonts w:ascii="Calibri" w:hAnsi="Calibri" w:cs="Calibri"/>
          <w:color w:val="000000"/>
          <w:sz w:val="22"/>
          <w:szCs w:val="22"/>
        </w:rPr>
      </w:pPr>
      <w:r w:rsidRPr="00D76EBF">
        <w:rPr>
          <w:rFonts w:ascii="Calibri" w:hAnsi="Calibri" w:cs="Calibri"/>
          <w:color w:val="000000"/>
          <w:sz w:val="22"/>
          <w:szCs w:val="22"/>
        </w:rPr>
        <w:t>FLAG: WOP/Sunday</w:t>
      </w:r>
      <w:r w:rsidRPr="00D76EBF">
        <w:rPr>
          <w:rFonts w:ascii="Calibri" w:hAnsi="Calibri" w:cs="Calibri"/>
          <w:color w:val="000000"/>
          <w:sz w:val="22"/>
          <w:szCs w:val="22"/>
        </w:rPr>
        <w:tab/>
      </w:r>
    </w:p>
    <w:p w:rsidR="00D76EBF" w:rsidRPr="00D76EBF" w:rsidRDefault="00D76EBF" w:rsidP="00D76EBF">
      <w:pPr>
        <w:widowControl w:val="0"/>
        <w:autoSpaceDE w:val="0"/>
        <w:autoSpaceDN w:val="0"/>
        <w:adjustRightInd w:val="0"/>
        <w:spacing w:before="120" w:after="200" w:line="360" w:lineRule="auto"/>
        <w:textAlignment w:val="center"/>
        <w:rPr>
          <w:rFonts w:ascii="Calibri" w:hAnsi="Calibri" w:cs="Calibri"/>
          <w:color w:val="000000"/>
          <w:sz w:val="22"/>
          <w:szCs w:val="22"/>
        </w:rPr>
      </w:pPr>
      <w:r w:rsidRPr="00D76EBF">
        <w:rPr>
          <w:rFonts w:ascii="Calibri" w:hAnsi="Calibri" w:cs="Calibri"/>
          <w:color w:val="000000"/>
          <w:sz w:val="22"/>
          <w:szCs w:val="22"/>
        </w:rPr>
        <w:t>HEAD: Learning the Gospel</w:t>
      </w:r>
    </w:p>
    <w:p w:rsidR="00D76EBF" w:rsidRPr="00D76EBF" w:rsidRDefault="00D76EBF" w:rsidP="00D76EBF">
      <w:pPr>
        <w:widowControl w:val="0"/>
        <w:autoSpaceDE w:val="0"/>
        <w:autoSpaceDN w:val="0"/>
        <w:adjustRightInd w:val="0"/>
        <w:spacing w:before="120" w:after="200" w:line="360" w:lineRule="auto"/>
        <w:textAlignment w:val="center"/>
        <w:rPr>
          <w:rFonts w:ascii="Calibri" w:hAnsi="Calibri" w:cs="Calibri"/>
          <w:color w:val="000000"/>
          <w:sz w:val="22"/>
          <w:szCs w:val="22"/>
        </w:rPr>
      </w:pPr>
      <w:r w:rsidRPr="00D76EBF">
        <w:rPr>
          <w:rFonts w:ascii="Calibri" w:hAnsi="Calibri" w:cs="Calibri"/>
          <w:color w:val="000000"/>
          <w:sz w:val="22"/>
          <w:szCs w:val="22"/>
        </w:rPr>
        <w:t xml:space="preserve">SUBHEAD: </w:t>
      </w:r>
    </w:p>
    <w:p w:rsidR="00D76EBF" w:rsidRPr="00D76EBF" w:rsidRDefault="00D76EBF" w:rsidP="00D76EBF">
      <w:pPr>
        <w:widowControl w:val="0"/>
        <w:autoSpaceDE w:val="0"/>
        <w:autoSpaceDN w:val="0"/>
        <w:adjustRightInd w:val="0"/>
        <w:spacing w:before="120" w:after="200" w:line="360" w:lineRule="auto"/>
        <w:textAlignment w:val="center"/>
        <w:rPr>
          <w:rFonts w:ascii="Calibri" w:hAnsi="Calibri" w:cs="Calibri"/>
          <w:color w:val="000000"/>
          <w:sz w:val="22"/>
          <w:szCs w:val="22"/>
        </w:rPr>
      </w:pPr>
      <w:r w:rsidRPr="00D76EBF">
        <w:rPr>
          <w:rFonts w:ascii="Calibri" w:hAnsi="Calibri" w:cs="Calibri"/>
          <w:color w:val="000000"/>
          <w:sz w:val="22"/>
          <w:szCs w:val="22"/>
        </w:rPr>
        <w:t>By Hans Heinz</w:t>
      </w:r>
    </w:p>
    <w:p w:rsidR="00D76EBF" w:rsidRPr="00D76EBF" w:rsidRDefault="00D76EBF" w:rsidP="00D76EBF">
      <w:pPr>
        <w:widowControl w:val="0"/>
        <w:autoSpaceDE w:val="0"/>
        <w:autoSpaceDN w:val="0"/>
        <w:adjustRightInd w:val="0"/>
        <w:spacing w:before="120" w:after="200" w:line="360" w:lineRule="auto"/>
        <w:textAlignment w:val="center"/>
        <w:rPr>
          <w:rFonts w:ascii="Calibri" w:hAnsi="Calibri" w:cs="Calibri"/>
          <w:color w:val="000000"/>
          <w:sz w:val="22"/>
          <w:szCs w:val="22"/>
        </w:rPr>
      </w:pPr>
      <w:r w:rsidRPr="00D76EBF">
        <w:rPr>
          <w:rFonts w:ascii="Calibri" w:hAnsi="Calibri" w:cs="Calibri"/>
          <w:color w:val="000000"/>
          <w:sz w:val="22"/>
          <w:szCs w:val="22"/>
        </w:rPr>
        <w:t>Word count:  1100 [including endnotes and questions]</w:t>
      </w:r>
    </w:p>
    <w:p w:rsidR="00D76EBF" w:rsidRPr="00D76EBF" w:rsidRDefault="00D76EBF" w:rsidP="00D76EBF">
      <w:pPr>
        <w:widowControl w:val="0"/>
        <w:autoSpaceDE w:val="0"/>
        <w:autoSpaceDN w:val="0"/>
        <w:adjustRightInd w:val="0"/>
        <w:spacing w:after="200" w:line="480" w:lineRule="auto"/>
        <w:textAlignment w:val="center"/>
        <w:rPr>
          <w:rFonts w:ascii="TimesNewRomanPSMT" w:hAnsi="TimesNewRomanPSMT" w:cs="TimesNewRomanPSMT"/>
          <w:color w:val="000000"/>
        </w:rPr>
      </w:pPr>
      <w:r w:rsidRPr="00D76EBF">
        <w:rPr>
          <w:rFonts w:ascii="TimesNewRomanPSMT" w:hAnsi="TimesNewRomanPSMT" w:cs="TimesNewRomanPSMT"/>
          <w:color w:val="000000"/>
        </w:rPr>
        <w:t xml:space="preserve"> </w:t>
      </w:r>
      <w:r w:rsidRPr="00D76EBF">
        <w:rPr>
          <w:rFonts w:ascii="TimesNewRomanPS-ItalicMT" w:hAnsi="TimesNewRomanPS-ItalicMT" w:cs="TimesNewRomanPS-ItalicMT"/>
          <w:i/>
          <w:iCs/>
          <w:color w:val="000000"/>
        </w:rPr>
        <w:t>“I have learned the Gospel from him”</w:t>
      </w:r>
      <w:r w:rsidRPr="00D76EBF">
        <w:rPr>
          <w:rFonts w:ascii="TimesNewRomanPSMT" w:hAnsi="TimesNewRomanPSMT" w:cs="TimesNewRomanPSMT"/>
          <w:color w:val="000000"/>
        </w:rPr>
        <w:t xml:space="preserve"> (Philipp Melanchthon).</w:t>
      </w:r>
    </w:p>
    <w:p w:rsidR="00D76EBF" w:rsidRPr="00D76EBF" w:rsidRDefault="00D76EBF" w:rsidP="00D76EBF">
      <w:pPr>
        <w:widowControl w:val="0"/>
        <w:autoSpaceDE w:val="0"/>
        <w:autoSpaceDN w:val="0"/>
        <w:adjustRightInd w:val="0"/>
        <w:spacing w:after="200" w:line="480" w:lineRule="auto"/>
        <w:textAlignment w:val="center"/>
        <w:rPr>
          <w:rFonts w:ascii="TimesNewRomanPSMT" w:hAnsi="TimesNewRomanPSMT" w:cs="TimesNewRomanPSMT"/>
          <w:color w:val="000000"/>
        </w:rPr>
      </w:pPr>
      <w:r w:rsidRPr="00D76EBF">
        <w:rPr>
          <w:rFonts w:ascii="TimesNewRomanPSMT" w:hAnsi="TimesNewRomanPSMT" w:cs="TimesNewRomanPSMT"/>
          <w:color w:val="000000"/>
        </w:rPr>
        <w:t>Philipp Melanchthon, the peace-loving and consensus-seeking fellow Reformer of Martin Luther, was one day asked by friends why he was so devoted to Luther, although the great man could sometimes be rather obstinate, bossy, and rude. Melanchthon, himself being one of the great scholars of the Reformation period, simply and concisely replied: “I have learned the Gospel from him.”</w:t>
      </w:r>
    </w:p>
    <w:p w:rsidR="00D76EBF" w:rsidRPr="00D76EBF" w:rsidRDefault="00D76EBF" w:rsidP="00D76EBF">
      <w:pPr>
        <w:widowControl w:val="0"/>
        <w:autoSpaceDE w:val="0"/>
        <w:autoSpaceDN w:val="0"/>
        <w:adjustRightInd w:val="0"/>
        <w:spacing w:after="200" w:line="480" w:lineRule="auto"/>
        <w:textAlignment w:val="center"/>
        <w:rPr>
          <w:rFonts w:ascii="TimesNewRomanPSMT" w:hAnsi="TimesNewRomanPSMT" w:cs="TimesNewRomanPSMT"/>
          <w:color w:val="000000"/>
        </w:rPr>
      </w:pPr>
      <w:r w:rsidRPr="00D76EBF">
        <w:rPr>
          <w:rFonts w:ascii="TimesNewRomanPSMT" w:hAnsi="TimesNewRomanPSMT" w:cs="TimesNewRomanPSMT"/>
          <w:color w:val="000000"/>
        </w:rPr>
        <w:t>Through the influence of Luther and the Reformation “the Gospel” returned to the center of Christian faith at the beginning of the modern era. According to the apostle Paul, it is the message through which “the power of God” works, bringing “salvation to everyone who believes” (Rom. 1:16, NIV).</w:t>
      </w:r>
    </w:p>
    <w:p w:rsidR="00D76EBF" w:rsidRPr="00D76EBF" w:rsidRDefault="00D76EBF" w:rsidP="00D76EBF">
      <w:pPr>
        <w:widowControl w:val="0"/>
        <w:autoSpaceDE w:val="0"/>
        <w:autoSpaceDN w:val="0"/>
        <w:adjustRightInd w:val="0"/>
        <w:spacing w:after="200" w:line="480" w:lineRule="auto"/>
        <w:textAlignment w:val="center"/>
        <w:rPr>
          <w:rFonts w:ascii="TimesNewRomanPSMT" w:hAnsi="TimesNewRomanPSMT" w:cs="TimesNewRomanPSMT"/>
          <w:color w:val="000000"/>
        </w:rPr>
      </w:pPr>
      <w:r w:rsidRPr="00D76EBF">
        <w:rPr>
          <w:rFonts w:ascii="TimesNewRomanPSMT" w:hAnsi="TimesNewRomanPSMT" w:cs="TimesNewRomanPSMT"/>
          <w:color w:val="000000"/>
        </w:rPr>
        <w:t>This definition provided by the apostle presents five terms of particular importance:</w:t>
      </w:r>
    </w:p>
    <w:p w:rsidR="00D76EBF" w:rsidRPr="00D76EBF" w:rsidRDefault="00D76EBF" w:rsidP="00D76EBF">
      <w:pPr>
        <w:widowControl w:val="0"/>
        <w:autoSpaceDE w:val="0"/>
        <w:autoSpaceDN w:val="0"/>
        <w:adjustRightInd w:val="0"/>
        <w:spacing w:after="200" w:line="480" w:lineRule="auto"/>
        <w:textAlignment w:val="center"/>
        <w:rPr>
          <w:rFonts w:ascii="TimesNewRomanPS-BoldMT" w:hAnsi="TimesNewRomanPS-BoldMT" w:cs="TimesNewRomanPS-BoldMT"/>
          <w:b/>
          <w:bCs/>
          <w:color w:val="000000"/>
        </w:rPr>
      </w:pPr>
      <w:r w:rsidRPr="00D76EBF">
        <w:rPr>
          <w:rFonts w:ascii="TimesNewRomanPS-BoldMT" w:hAnsi="TimesNewRomanPS-BoldMT" w:cs="TimesNewRomanPS-BoldMT"/>
          <w:b/>
          <w:bCs/>
          <w:color w:val="000000"/>
        </w:rPr>
        <w:t>Gospel</w:t>
      </w:r>
    </w:p>
    <w:p w:rsidR="00D76EBF" w:rsidRPr="00D76EBF" w:rsidRDefault="00D76EBF" w:rsidP="00D76EBF">
      <w:pPr>
        <w:widowControl w:val="0"/>
        <w:autoSpaceDE w:val="0"/>
        <w:autoSpaceDN w:val="0"/>
        <w:adjustRightInd w:val="0"/>
        <w:spacing w:after="200" w:line="480" w:lineRule="auto"/>
        <w:textAlignment w:val="center"/>
        <w:rPr>
          <w:rFonts w:ascii="TimesNewRomanPSMT" w:hAnsi="TimesNewRomanPSMT" w:cs="TimesNewRomanPSMT"/>
          <w:color w:val="000000"/>
          <w:vertAlign w:val="superscript"/>
        </w:rPr>
      </w:pPr>
      <w:r w:rsidRPr="00D76EBF">
        <w:rPr>
          <w:rFonts w:ascii="TimesNewRomanPSMT" w:hAnsi="TimesNewRomanPSMT" w:cs="TimesNewRomanPSMT"/>
          <w:color w:val="000000"/>
        </w:rPr>
        <w:t xml:space="preserve">This word means the “good news,” the “joyful message,” the “victory message.” It is the “gospel of God” (Rom. 1:1) because it comes from God and speaks of God. But it is also the “gospel of </w:t>
      </w:r>
      <w:r w:rsidRPr="00D76EBF">
        <w:rPr>
          <w:rFonts w:ascii="TimesNewRomanPSMT" w:hAnsi="TimesNewRomanPSMT" w:cs="TimesNewRomanPSMT"/>
          <w:color w:val="000000"/>
        </w:rPr>
        <w:lastRenderedPageBreak/>
        <w:t>Christ” (Rom. 15:19), i.e., the message of the mission, the sacrifice, and the atoning death of Jesus of Nazareth, the divine Messiah, for the world. Further, it also speaks of His victory over death, His mediation before God for His people who are still living and struggling in this world, and also of His future return to complete His work. Thus, the gospel consoles us that after the present “salvation in an unsaved world,” Christ will return to “change the whole world.” The gospel provides the solution to the basic human problem: “For earth’s sin and misery the gospel is the only antidote.”</w:t>
      </w:r>
      <w:r w:rsidRPr="00D76EBF">
        <w:rPr>
          <w:rFonts w:ascii="TimesNewRomanPSMT" w:hAnsi="TimesNewRomanPSMT" w:cs="TimesNewRomanPSMT"/>
          <w:color w:val="000000"/>
          <w:vertAlign w:val="superscript"/>
        </w:rPr>
        <w:t>1</w:t>
      </w:r>
    </w:p>
    <w:p w:rsidR="00D76EBF" w:rsidRPr="00D76EBF" w:rsidRDefault="00D76EBF" w:rsidP="00D76EBF">
      <w:pPr>
        <w:widowControl w:val="0"/>
        <w:autoSpaceDE w:val="0"/>
        <w:autoSpaceDN w:val="0"/>
        <w:adjustRightInd w:val="0"/>
        <w:spacing w:after="200" w:line="480" w:lineRule="auto"/>
        <w:textAlignment w:val="center"/>
        <w:rPr>
          <w:rFonts w:ascii="TimesNewRomanPS-BoldMT" w:hAnsi="TimesNewRomanPS-BoldMT" w:cs="TimesNewRomanPS-BoldMT"/>
          <w:b/>
          <w:bCs/>
          <w:color w:val="000000"/>
        </w:rPr>
      </w:pPr>
      <w:r w:rsidRPr="00D76EBF">
        <w:rPr>
          <w:rFonts w:ascii="TimesNewRomanPS-BoldMT" w:hAnsi="TimesNewRomanPS-BoldMT" w:cs="TimesNewRomanPS-BoldMT"/>
          <w:b/>
          <w:bCs/>
          <w:color w:val="000000"/>
        </w:rPr>
        <w:t>Power of God</w:t>
      </w:r>
    </w:p>
    <w:p w:rsidR="00D76EBF" w:rsidRPr="00D76EBF" w:rsidRDefault="00D76EBF" w:rsidP="00D76EBF">
      <w:pPr>
        <w:widowControl w:val="0"/>
        <w:autoSpaceDE w:val="0"/>
        <w:autoSpaceDN w:val="0"/>
        <w:adjustRightInd w:val="0"/>
        <w:spacing w:after="200" w:line="480" w:lineRule="auto"/>
        <w:textAlignment w:val="center"/>
        <w:rPr>
          <w:rFonts w:ascii="TimesNewRomanPSMT" w:hAnsi="TimesNewRomanPSMT" w:cs="TimesNewRomanPSMT"/>
          <w:color w:val="000000"/>
        </w:rPr>
      </w:pPr>
      <w:r w:rsidRPr="00D76EBF">
        <w:rPr>
          <w:rFonts w:ascii="TimesNewRomanPSMT" w:hAnsi="TimesNewRomanPSMT" w:cs="TimesNewRomanPSMT"/>
          <w:color w:val="000000"/>
        </w:rPr>
        <w:t>The gospel has creative power because it is God’s Word. Human words do not hold creative power. They are often only “sound and fury.” But when God speaks the gospel, what He says also happens: everyone who believes receives salvation.</w:t>
      </w:r>
    </w:p>
    <w:p w:rsidR="00D76EBF" w:rsidRPr="00D76EBF" w:rsidRDefault="00D76EBF" w:rsidP="00D76EBF">
      <w:pPr>
        <w:widowControl w:val="0"/>
        <w:autoSpaceDE w:val="0"/>
        <w:autoSpaceDN w:val="0"/>
        <w:adjustRightInd w:val="0"/>
        <w:spacing w:after="200" w:line="480" w:lineRule="auto"/>
        <w:textAlignment w:val="center"/>
        <w:rPr>
          <w:rFonts w:ascii="TimesNewRomanPS-BoldMT" w:hAnsi="TimesNewRomanPS-BoldMT" w:cs="TimesNewRomanPS-BoldMT"/>
          <w:b/>
          <w:bCs/>
          <w:color w:val="000000"/>
        </w:rPr>
      </w:pPr>
      <w:r w:rsidRPr="00D76EBF">
        <w:rPr>
          <w:rFonts w:ascii="TimesNewRomanPS-BoldMT" w:hAnsi="TimesNewRomanPS-BoldMT" w:cs="TimesNewRomanPS-BoldMT"/>
          <w:b/>
          <w:bCs/>
          <w:color w:val="000000"/>
        </w:rPr>
        <w:t>Salvation</w:t>
      </w:r>
    </w:p>
    <w:p w:rsidR="00D76EBF" w:rsidRPr="00D76EBF" w:rsidRDefault="00D76EBF" w:rsidP="00D76EBF">
      <w:pPr>
        <w:widowControl w:val="0"/>
        <w:autoSpaceDE w:val="0"/>
        <w:autoSpaceDN w:val="0"/>
        <w:adjustRightInd w:val="0"/>
        <w:spacing w:after="200" w:line="480" w:lineRule="auto"/>
        <w:textAlignment w:val="center"/>
        <w:rPr>
          <w:rFonts w:ascii="TimesNewRomanPSMT" w:hAnsi="TimesNewRomanPSMT" w:cs="TimesNewRomanPSMT"/>
          <w:color w:val="000000"/>
        </w:rPr>
      </w:pPr>
      <w:r w:rsidRPr="00D76EBF">
        <w:rPr>
          <w:rFonts w:ascii="TimesNewRomanPSMT" w:hAnsi="TimesNewRomanPSMT" w:cs="TimesNewRomanPSMT"/>
          <w:color w:val="000000"/>
        </w:rPr>
        <w:t>Salvation does not occur as a result of philosophical speculation, theorems, or wisdom gleaned from books. The salvation of humanity from their misery of guilt and fleetingness of life is not produced by human speech, but by divine action and divine acquittal. It is, what Luther called, the “</w:t>
      </w:r>
      <w:proofErr w:type="spellStart"/>
      <w:r w:rsidRPr="00D76EBF">
        <w:rPr>
          <w:rFonts w:ascii="TimesNewRomanPSMT" w:hAnsi="TimesNewRomanPSMT" w:cs="TimesNewRomanPSMT"/>
          <w:color w:val="000000"/>
        </w:rPr>
        <w:t>admirabile</w:t>
      </w:r>
      <w:proofErr w:type="spellEnd"/>
      <w:r w:rsidRPr="00D76EBF">
        <w:rPr>
          <w:rFonts w:ascii="TimesNewRomanPSMT" w:hAnsi="TimesNewRomanPSMT" w:cs="TimesNewRomanPSMT"/>
          <w:color w:val="000000"/>
        </w:rPr>
        <w:t xml:space="preserve"> commercium,”</w:t>
      </w:r>
      <w:r w:rsidRPr="00D76EBF">
        <w:rPr>
          <w:rFonts w:ascii="TimesNewRomanPSMT" w:hAnsi="TimesNewRomanPSMT" w:cs="TimesNewRomanPSMT"/>
          <w:color w:val="000000"/>
          <w:vertAlign w:val="superscript"/>
        </w:rPr>
        <w:t>2</w:t>
      </w:r>
      <w:r w:rsidRPr="00D76EBF">
        <w:rPr>
          <w:rFonts w:ascii="TimesNewRomanPSMT" w:hAnsi="TimesNewRomanPSMT" w:cs="TimesNewRomanPSMT"/>
          <w:color w:val="000000"/>
        </w:rPr>
        <w:t xml:space="preserve"> the marvelous exchange or substitution.</w:t>
      </w:r>
    </w:p>
    <w:p w:rsidR="00D76EBF" w:rsidRPr="00D76EBF" w:rsidRDefault="00D76EBF" w:rsidP="00D76EBF">
      <w:pPr>
        <w:widowControl w:val="0"/>
        <w:autoSpaceDE w:val="0"/>
        <w:autoSpaceDN w:val="0"/>
        <w:adjustRightInd w:val="0"/>
        <w:spacing w:after="200" w:line="480" w:lineRule="auto"/>
        <w:textAlignment w:val="center"/>
        <w:rPr>
          <w:rFonts w:ascii="TimesNewRomanPSMT" w:hAnsi="TimesNewRomanPSMT" w:cs="TimesNewRomanPSMT"/>
          <w:color w:val="000000"/>
        </w:rPr>
      </w:pPr>
      <w:r w:rsidRPr="00D76EBF">
        <w:rPr>
          <w:rFonts w:ascii="TimesNewRomanPSMT" w:hAnsi="TimesNewRomanPSMT" w:cs="TimesNewRomanPSMT"/>
          <w:color w:val="000000"/>
        </w:rPr>
        <w:t>At the cross “God . . . in Christ” (2 Cor. 5:19) exchanged places with the world. He took over the judgment that should have been executed on the sinner: “The Judge judged in our place.”</w:t>
      </w:r>
      <w:r w:rsidRPr="00D76EBF">
        <w:rPr>
          <w:rFonts w:ascii="TimesNewRomanPSMT" w:hAnsi="TimesNewRomanPSMT" w:cs="TimesNewRomanPSMT"/>
          <w:color w:val="000000"/>
          <w:vertAlign w:val="superscript"/>
        </w:rPr>
        <w:t>3</w:t>
      </w:r>
      <w:r w:rsidRPr="00D76EBF">
        <w:rPr>
          <w:rFonts w:ascii="TimesNewRomanPSMT" w:hAnsi="TimesNewRomanPSMT" w:cs="TimesNewRomanPSMT"/>
          <w:color w:val="000000"/>
        </w:rPr>
        <w:t xml:space="preserve"> He took our punishment on Himself and gives us His righteousness (verse 21); He became weak and gives us His strength (2 Cor. 12:9); He became poor for us and gives us His abundance (2 Cor. 8:9); He exchanged misery for glory, suffering for joy, and “made himself ‘nothing’ (Phil. 2:7) in contrast to His ‘all,’ so that we ‘have all,’ although we ‘have nothing’ ” (2 Cor. 6:10).</w:t>
      </w:r>
      <w:r w:rsidRPr="00D76EBF">
        <w:rPr>
          <w:rFonts w:ascii="TimesNewRomanPSMT" w:hAnsi="TimesNewRomanPSMT" w:cs="TimesNewRomanPSMT"/>
          <w:color w:val="000000"/>
          <w:vertAlign w:val="superscript"/>
        </w:rPr>
        <w:t>4</w:t>
      </w:r>
      <w:r w:rsidRPr="00D76EBF">
        <w:rPr>
          <w:rFonts w:ascii="TimesNewRomanPSMT" w:hAnsi="TimesNewRomanPSMT" w:cs="TimesNewRomanPSMT"/>
          <w:color w:val="000000"/>
        </w:rPr>
        <w:t xml:space="preserve"> </w:t>
      </w:r>
    </w:p>
    <w:p w:rsidR="00D76EBF" w:rsidRPr="00D76EBF" w:rsidRDefault="00D76EBF" w:rsidP="00D76EBF">
      <w:pPr>
        <w:widowControl w:val="0"/>
        <w:autoSpaceDE w:val="0"/>
        <w:autoSpaceDN w:val="0"/>
        <w:adjustRightInd w:val="0"/>
        <w:spacing w:after="200" w:line="480" w:lineRule="auto"/>
        <w:textAlignment w:val="center"/>
        <w:rPr>
          <w:rFonts w:ascii="TimesNewRomanPS-BoldMT" w:hAnsi="TimesNewRomanPS-BoldMT" w:cs="TimesNewRomanPS-BoldMT"/>
          <w:b/>
          <w:bCs/>
          <w:color w:val="000000"/>
        </w:rPr>
      </w:pPr>
      <w:r w:rsidRPr="00D76EBF">
        <w:rPr>
          <w:rFonts w:ascii="TimesNewRomanPS-BoldMT" w:hAnsi="TimesNewRomanPS-BoldMT" w:cs="TimesNewRomanPS-BoldMT"/>
          <w:b/>
          <w:bCs/>
          <w:color w:val="000000"/>
        </w:rPr>
        <w:t>For All</w:t>
      </w:r>
    </w:p>
    <w:p w:rsidR="00D76EBF" w:rsidRPr="00D76EBF" w:rsidRDefault="00D76EBF" w:rsidP="00D76EBF">
      <w:pPr>
        <w:widowControl w:val="0"/>
        <w:autoSpaceDE w:val="0"/>
        <w:autoSpaceDN w:val="0"/>
        <w:adjustRightInd w:val="0"/>
        <w:spacing w:after="200" w:line="480" w:lineRule="auto"/>
        <w:textAlignment w:val="center"/>
        <w:rPr>
          <w:rFonts w:ascii="TimesNewRomanPSMT" w:hAnsi="TimesNewRomanPSMT" w:cs="TimesNewRomanPSMT"/>
          <w:color w:val="000000"/>
        </w:rPr>
      </w:pPr>
      <w:r w:rsidRPr="00D76EBF">
        <w:rPr>
          <w:rFonts w:ascii="TimesNewRomanPSMT" w:hAnsi="TimesNewRomanPSMT" w:cs="TimesNewRomanPSMT"/>
          <w:color w:val="000000"/>
        </w:rPr>
        <w:t>The gospel’s wonders apply not only to a particular nation, gender or social status but are for all.</w:t>
      </w:r>
    </w:p>
    <w:p w:rsidR="00D76EBF" w:rsidRPr="00D76EBF" w:rsidRDefault="00D76EBF" w:rsidP="00D76EBF">
      <w:pPr>
        <w:widowControl w:val="0"/>
        <w:autoSpaceDE w:val="0"/>
        <w:autoSpaceDN w:val="0"/>
        <w:adjustRightInd w:val="0"/>
        <w:spacing w:after="200" w:line="480" w:lineRule="auto"/>
        <w:textAlignment w:val="center"/>
        <w:rPr>
          <w:rFonts w:ascii="TimesNewRomanPSMT" w:hAnsi="TimesNewRomanPSMT" w:cs="TimesNewRomanPSMT"/>
          <w:color w:val="000000"/>
        </w:rPr>
      </w:pPr>
      <w:r w:rsidRPr="00D76EBF">
        <w:rPr>
          <w:rFonts w:ascii="TimesNewRomanPSMT" w:hAnsi="TimesNewRomanPSMT" w:cs="TimesNewRomanPSMT"/>
          <w:color w:val="000000"/>
        </w:rPr>
        <w:t>Through his Damascus experience the apostle Paul, who would have proudly boasted of his Jewish ancestry and Pharisaic self-righteousness (Phil. 3:4-6), became a friend of the Gentile nations to which so many of his fellow Christians belonged. They were his “joy and crown” (Phil. 4:1). For him, Christ’s suffering and death for all (1 Tim. 2:6) erased all national, social, and gender prejudices (Gal. 3:26-28). The gospel breaks through all barriers and creates a supranational community. In Christ diverse people with different origins and varied education and experience are merged into the “</w:t>
      </w:r>
      <w:proofErr w:type="spellStart"/>
      <w:r w:rsidRPr="00D76EBF">
        <w:rPr>
          <w:rFonts w:ascii="TimesNewRomanPSMT" w:hAnsi="TimesNewRomanPSMT" w:cs="TimesNewRomanPSMT"/>
          <w:color w:val="000000"/>
        </w:rPr>
        <w:t>familia</w:t>
      </w:r>
      <w:proofErr w:type="spellEnd"/>
      <w:r w:rsidRPr="00D76EBF">
        <w:rPr>
          <w:rFonts w:ascii="TimesNewRomanPSMT" w:hAnsi="TimesNewRomanPSMT" w:cs="TimesNewRomanPSMT"/>
          <w:color w:val="000000"/>
        </w:rPr>
        <w:t xml:space="preserve"> Dei,” the family of God: “Christ tears away the wall of partition, the dividing prejudice of nationality, and teaches a love for all the human family.”</w:t>
      </w:r>
      <w:r w:rsidRPr="00D76EBF">
        <w:rPr>
          <w:rFonts w:ascii="TimesNewRomanPSMT" w:hAnsi="TimesNewRomanPSMT" w:cs="TimesNewRomanPSMT"/>
          <w:color w:val="000000"/>
          <w:vertAlign w:val="superscript"/>
        </w:rPr>
        <w:t>5</w:t>
      </w:r>
      <w:r w:rsidRPr="00D76EBF">
        <w:rPr>
          <w:rFonts w:ascii="TimesNewRomanPSMT" w:hAnsi="TimesNewRomanPSMT" w:cs="TimesNewRomanPSMT"/>
          <w:color w:val="000000"/>
        </w:rPr>
        <w:t xml:space="preserve"> Above all, humans all become “children of God.” Christ unites us not only on the horizontal plane, but also and especially on the vertical: He reconnects humanity with God by His salvific death. How?</w:t>
      </w:r>
    </w:p>
    <w:p w:rsidR="00D76EBF" w:rsidRPr="00D76EBF" w:rsidRDefault="00D76EBF" w:rsidP="00D76EBF">
      <w:pPr>
        <w:widowControl w:val="0"/>
        <w:autoSpaceDE w:val="0"/>
        <w:autoSpaceDN w:val="0"/>
        <w:adjustRightInd w:val="0"/>
        <w:spacing w:after="200" w:line="480" w:lineRule="auto"/>
        <w:textAlignment w:val="center"/>
        <w:rPr>
          <w:rFonts w:ascii="TimesNewRomanPS-BoldMT" w:hAnsi="TimesNewRomanPS-BoldMT" w:cs="TimesNewRomanPS-BoldMT"/>
          <w:b/>
          <w:bCs/>
          <w:color w:val="000000"/>
        </w:rPr>
      </w:pPr>
      <w:r w:rsidRPr="00D76EBF">
        <w:rPr>
          <w:rFonts w:ascii="TimesNewRomanPS-BoldMT" w:hAnsi="TimesNewRomanPS-BoldMT" w:cs="TimesNewRomanPS-BoldMT"/>
          <w:b/>
          <w:bCs/>
          <w:color w:val="000000"/>
        </w:rPr>
        <w:t>Through Faith in Christ</w:t>
      </w:r>
    </w:p>
    <w:p w:rsidR="00D76EBF" w:rsidRPr="00D76EBF" w:rsidRDefault="00D76EBF" w:rsidP="00D76EBF">
      <w:pPr>
        <w:widowControl w:val="0"/>
        <w:autoSpaceDE w:val="0"/>
        <w:autoSpaceDN w:val="0"/>
        <w:adjustRightInd w:val="0"/>
        <w:spacing w:after="200" w:line="480" w:lineRule="auto"/>
        <w:textAlignment w:val="center"/>
        <w:rPr>
          <w:rFonts w:ascii="TimesNewRomanPSMT" w:hAnsi="TimesNewRomanPSMT" w:cs="TimesNewRomanPSMT"/>
          <w:color w:val="000000"/>
        </w:rPr>
      </w:pPr>
      <w:r w:rsidRPr="00D76EBF">
        <w:rPr>
          <w:rFonts w:ascii="TimesNewRomanPSMT" w:hAnsi="TimesNewRomanPSMT" w:cs="TimesNewRomanPSMT"/>
          <w:color w:val="000000"/>
        </w:rPr>
        <w:t>When Paul speaks of “believing,” he does not refer to surmising or imagining, nor even agreeing to a specific statement. Believing in the Scriptures—the Old Testament at that time—means to “take firmly hold of, grasp, be faithful.”</w:t>
      </w:r>
      <w:r w:rsidRPr="00D76EBF">
        <w:rPr>
          <w:rFonts w:ascii="TimesNewRomanPSMT" w:hAnsi="TimesNewRomanPSMT" w:cs="TimesNewRomanPSMT"/>
          <w:color w:val="000000"/>
          <w:vertAlign w:val="superscript"/>
        </w:rPr>
        <w:t>6</w:t>
      </w:r>
      <w:r w:rsidRPr="00D76EBF">
        <w:rPr>
          <w:rFonts w:ascii="TimesNewRomanPSMT" w:hAnsi="TimesNewRomanPSMT" w:cs="TimesNewRomanPSMT"/>
          <w:color w:val="000000"/>
        </w:rPr>
        <w:t xml:space="preserve"> In the New Testament, belief means “trust” and “faithfulness.” We receive salvation—forgiveness of sins, acceptance by God, renewal of life and final redemption—by trusting Christ’s promise of salvation, holding firmly on to it, and remaining faithful to the end. What saves the “wicked,” or the sinner, is not her religious achievements (“works”), but her trust in the God who declares her righteous in Christ (Rom. 4:5). Justification of the sinner, i.e., his declaration of being righteous before the mercy seat of God, happens by faith alone, apart from the works of the law (Gal. 2:16).</w:t>
      </w:r>
    </w:p>
    <w:p w:rsidR="00D76EBF" w:rsidRPr="00D76EBF" w:rsidRDefault="00D76EBF" w:rsidP="00D76EBF">
      <w:pPr>
        <w:widowControl w:val="0"/>
        <w:autoSpaceDE w:val="0"/>
        <w:autoSpaceDN w:val="0"/>
        <w:adjustRightInd w:val="0"/>
        <w:spacing w:after="200" w:line="480" w:lineRule="auto"/>
        <w:textAlignment w:val="center"/>
        <w:rPr>
          <w:rFonts w:ascii="TimesNewRomanPSMT" w:hAnsi="TimesNewRomanPSMT" w:cs="TimesNewRomanPSMT"/>
          <w:color w:val="000000"/>
        </w:rPr>
      </w:pPr>
      <w:r w:rsidRPr="00D76EBF">
        <w:rPr>
          <w:rFonts w:ascii="TimesNewRomanPSMT" w:hAnsi="TimesNewRomanPSMT" w:cs="TimesNewRomanPSMT"/>
          <w:color w:val="000000"/>
        </w:rPr>
        <w:t>The church believed that it had preserved this gospel through the centuries, and that it was its faithful interpreter. Many who thought they understood Paul had forgotten the essence of his message. A type of “innocent righteousness of works”</w:t>
      </w:r>
      <w:r w:rsidRPr="00D76EBF">
        <w:rPr>
          <w:rFonts w:ascii="TimesNewRomanPSMT" w:hAnsi="TimesNewRomanPSMT" w:cs="TimesNewRomanPSMT"/>
          <w:color w:val="000000"/>
          <w:vertAlign w:val="superscript"/>
        </w:rPr>
        <w:t>7</w:t>
      </w:r>
      <w:r w:rsidRPr="00D76EBF">
        <w:rPr>
          <w:rFonts w:ascii="TimesNewRomanPSMT" w:hAnsi="TimesNewRomanPSMT" w:cs="TimesNewRomanPSMT"/>
          <w:color w:val="000000"/>
        </w:rPr>
        <w:t xml:space="preserve"> had taken possession of Christendom and had turned the apostolic preaching of grace by faith into a subtle work religion. Under the influence of synagogue legalism, Greek virtue teachings, and Roman legal thought, the sinner’s acquittal by grace was replaced by an indispensable “toil,”</w:t>
      </w:r>
      <w:r w:rsidRPr="00D76EBF">
        <w:rPr>
          <w:rFonts w:ascii="TimesNewRomanPSMT" w:hAnsi="TimesNewRomanPSMT" w:cs="TimesNewRomanPSMT"/>
          <w:color w:val="000000"/>
          <w:vertAlign w:val="superscript"/>
        </w:rPr>
        <w:t>8</w:t>
      </w:r>
      <w:r w:rsidRPr="00D76EBF">
        <w:rPr>
          <w:rFonts w:ascii="TimesNewRomanPSMT" w:hAnsi="TimesNewRomanPSMT" w:cs="TimesNewRomanPSMT"/>
          <w:color w:val="000000"/>
        </w:rPr>
        <w:t xml:space="preserve"> in which the salvation seeker never knew whether they had done enough to be worthy of salvation. There were dissenting voices, but either they were not entirely clear themselves or went unheeded.</w:t>
      </w:r>
    </w:p>
    <w:p w:rsidR="00D76EBF" w:rsidRPr="00D76EBF" w:rsidRDefault="00D76EBF" w:rsidP="00D76EBF">
      <w:pPr>
        <w:widowControl w:val="0"/>
        <w:autoSpaceDE w:val="0"/>
        <w:autoSpaceDN w:val="0"/>
        <w:adjustRightInd w:val="0"/>
        <w:spacing w:after="200" w:line="480" w:lineRule="auto"/>
        <w:textAlignment w:val="center"/>
        <w:rPr>
          <w:rFonts w:ascii="TimesNewRomanPSMT" w:hAnsi="TimesNewRomanPSMT" w:cs="TimesNewRomanPSMT"/>
          <w:color w:val="000000"/>
          <w:vertAlign w:val="superscript"/>
        </w:rPr>
      </w:pPr>
      <w:r w:rsidRPr="00D76EBF">
        <w:rPr>
          <w:rFonts w:ascii="TimesNewRomanPSMT" w:hAnsi="TimesNewRomanPSMT" w:cs="TimesNewRomanPSMT"/>
          <w:color w:val="000000"/>
        </w:rPr>
        <w:t>Then came the glorious rediscovery of the apostolic message by the Reformation of the sixteen</w:t>
      </w:r>
      <w:r w:rsidRPr="00D76EBF">
        <w:rPr>
          <w:rFonts w:ascii="TimesNewRomanPSMT" w:hAnsi="TimesNewRomanPSMT" w:cs="TimesNewRomanPSMT"/>
          <w:color w:val="000000"/>
          <w:vertAlign w:val="superscript"/>
        </w:rPr>
        <w:t>th</w:t>
      </w:r>
      <w:r w:rsidRPr="00D76EBF">
        <w:rPr>
          <w:rFonts w:ascii="TimesNewRomanPSMT" w:hAnsi="TimesNewRomanPSMT" w:cs="TimesNewRomanPSMT"/>
          <w:color w:val="000000"/>
        </w:rPr>
        <w:t xml:space="preserve"> century, when Paul’s word, “The righteous will live by faith” (Rom. 1:17, NIV), again began to shine, and Christendom once more realized: “The only glory of Christians is in Jesus Christ alone.”</w:t>
      </w:r>
      <w:r w:rsidRPr="00D76EBF">
        <w:rPr>
          <w:rFonts w:ascii="TimesNewRomanPSMT" w:hAnsi="TimesNewRomanPSMT" w:cs="TimesNewRomanPSMT"/>
          <w:color w:val="000000"/>
          <w:vertAlign w:val="superscript"/>
        </w:rPr>
        <w:t>9</w:t>
      </w:r>
    </w:p>
    <w:p w:rsidR="00D76EBF" w:rsidRPr="00D76EBF" w:rsidRDefault="00D76EBF" w:rsidP="00D76EBF">
      <w:pPr>
        <w:widowControl w:val="0"/>
        <w:autoSpaceDE w:val="0"/>
        <w:autoSpaceDN w:val="0"/>
        <w:adjustRightInd w:val="0"/>
        <w:spacing w:before="120" w:after="200" w:line="360" w:lineRule="auto"/>
        <w:textAlignment w:val="center"/>
        <w:rPr>
          <w:rFonts w:ascii="Calibri-Bold" w:hAnsi="Calibri-Bold" w:cs="Calibri-Bold"/>
          <w:b/>
          <w:bCs/>
          <w:color w:val="000000"/>
          <w:sz w:val="22"/>
          <w:szCs w:val="22"/>
        </w:rPr>
      </w:pPr>
    </w:p>
    <w:p w:rsidR="00D76EBF" w:rsidRPr="00D76EBF" w:rsidRDefault="00D76EBF" w:rsidP="00D76EBF">
      <w:pPr>
        <w:widowControl w:val="0"/>
        <w:autoSpaceDE w:val="0"/>
        <w:autoSpaceDN w:val="0"/>
        <w:adjustRightInd w:val="0"/>
        <w:spacing w:before="120" w:after="200" w:line="360" w:lineRule="auto"/>
        <w:textAlignment w:val="center"/>
        <w:rPr>
          <w:rFonts w:ascii="Calibri-Bold" w:hAnsi="Calibri-Bold" w:cs="Calibri-Bold"/>
          <w:b/>
          <w:bCs/>
          <w:color w:val="000000"/>
          <w:sz w:val="22"/>
          <w:szCs w:val="22"/>
        </w:rPr>
      </w:pPr>
      <w:r w:rsidRPr="00D76EBF">
        <w:rPr>
          <w:rFonts w:ascii="Calibri-Bold" w:hAnsi="Calibri-Bold" w:cs="Calibri-Bold"/>
          <w:b/>
          <w:bCs/>
          <w:color w:val="000000"/>
          <w:sz w:val="22"/>
          <w:szCs w:val="22"/>
        </w:rPr>
        <w:t>QUESTIONS FOR REFLECTION AND SHARING</w:t>
      </w:r>
    </w:p>
    <w:p w:rsidR="00D76EBF" w:rsidRPr="00D76EBF" w:rsidRDefault="00D76EBF" w:rsidP="00D76EBF">
      <w:pPr>
        <w:widowControl w:val="0"/>
        <w:autoSpaceDE w:val="0"/>
        <w:autoSpaceDN w:val="0"/>
        <w:adjustRightInd w:val="0"/>
        <w:spacing w:after="200" w:line="480" w:lineRule="auto"/>
        <w:textAlignment w:val="center"/>
        <w:rPr>
          <w:rFonts w:ascii="TimesNewRomanPSMT" w:hAnsi="TimesNewRomanPSMT" w:cs="TimesNewRomanPSMT"/>
          <w:color w:val="000000"/>
        </w:rPr>
      </w:pPr>
      <w:r w:rsidRPr="00D76EBF">
        <w:rPr>
          <w:rFonts w:ascii="TimesNewRomanPSMT" w:hAnsi="TimesNewRomanPSMT" w:cs="TimesNewRomanPSMT"/>
          <w:color w:val="000000"/>
        </w:rPr>
        <w:t>1. How has the gospel changed your life? What have you gained by it?</w:t>
      </w:r>
    </w:p>
    <w:p w:rsidR="00D76EBF" w:rsidRPr="00D76EBF" w:rsidRDefault="00D76EBF" w:rsidP="00D76EBF">
      <w:pPr>
        <w:widowControl w:val="0"/>
        <w:autoSpaceDE w:val="0"/>
        <w:autoSpaceDN w:val="0"/>
        <w:adjustRightInd w:val="0"/>
        <w:spacing w:after="200" w:line="480" w:lineRule="auto"/>
        <w:textAlignment w:val="center"/>
        <w:rPr>
          <w:rFonts w:ascii="TimesNewRomanPSMT" w:hAnsi="TimesNewRomanPSMT" w:cs="TimesNewRomanPSMT"/>
          <w:color w:val="000000"/>
        </w:rPr>
      </w:pPr>
      <w:r w:rsidRPr="00D76EBF">
        <w:rPr>
          <w:rFonts w:ascii="TimesNewRomanPSMT" w:hAnsi="TimesNewRomanPSMT" w:cs="TimesNewRomanPSMT"/>
          <w:color w:val="000000"/>
        </w:rPr>
        <w:t>2. How can we interact with people of a scientific mind-set, to show them that they need the gospel?</w:t>
      </w:r>
    </w:p>
    <w:p w:rsidR="00D76EBF" w:rsidRPr="00D76EBF" w:rsidRDefault="00D76EBF" w:rsidP="00D76EBF">
      <w:pPr>
        <w:widowControl w:val="0"/>
        <w:autoSpaceDE w:val="0"/>
        <w:autoSpaceDN w:val="0"/>
        <w:adjustRightInd w:val="0"/>
        <w:spacing w:after="200" w:line="480" w:lineRule="auto"/>
        <w:textAlignment w:val="center"/>
        <w:rPr>
          <w:rFonts w:ascii="TimesNewRomanPSMT" w:hAnsi="TimesNewRomanPSMT" w:cs="TimesNewRomanPSMT"/>
          <w:color w:val="000000"/>
        </w:rPr>
      </w:pPr>
      <w:r w:rsidRPr="00D76EBF">
        <w:rPr>
          <w:rFonts w:ascii="TimesNewRomanPSMT" w:hAnsi="TimesNewRomanPSMT" w:cs="TimesNewRomanPSMT"/>
          <w:color w:val="000000"/>
        </w:rPr>
        <w:t>3. What healing effect does the message of justification by faith alone have for our soul?</w:t>
      </w:r>
    </w:p>
    <w:p w:rsidR="00D76EBF" w:rsidRPr="00D76EBF" w:rsidRDefault="00D76EBF" w:rsidP="00D76EBF">
      <w:pPr>
        <w:widowControl w:val="0"/>
        <w:autoSpaceDE w:val="0"/>
        <w:autoSpaceDN w:val="0"/>
        <w:adjustRightInd w:val="0"/>
        <w:spacing w:before="120" w:after="200" w:line="360" w:lineRule="auto"/>
        <w:textAlignment w:val="center"/>
        <w:rPr>
          <w:rFonts w:ascii="TimesNewRomanPSMT" w:hAnsi="TimesNewRomanPSMT" w:cs="TimesNewRomanPSMT"/>
          <w:color w:val="000000"/>
        </w:rPr>
      </w:pPr>
      <w:r w:rsidRPr="00D76EBF">
        <w:rPr>
          <w:rFonts w:ascii="TimesNewRomanPSMT" w:hAnsi="TimesNewRomanPSMT" w:cs="TimesNewRomanPSMT"/>
          <w:color w:val="000000"/>
        </w:rPr>
        <w:t>4. What in the gospel can attract young or old people to the importance of the Christian faith?</w:t>
      </w:r>
    </w:p>
    <w:p w:rsidR="00D76EBF" w:rsidRPr="00D76EBF" w:rsidRDefault="00D76EBF" w:rsidP="00D76EBF">
      <w:pPr>
        <w:widowControl w:val="0"/>
        <w:autoSpaceDE w:val="0"/>
        <w:autoSpaceDN w:val="0"/>
        <w:adjustRightInd w:val="0"/>
        <w:spacing w:before="120" w:after="200" w:line="360" w:lineRule="auto"/>
        <w:textAlignment w:val="center"/>
        <w:rPr>
          <w:rFonts w:ascii="TimesNewRomanPSMT" w:hAnsi="TimesNewRomanPSMT" w:cs="TimesNewRomanPSMT"/>
          <w:color w:val="000000"/>
        </w:rPr>
      </w:pPr>
    </w:p>
    <w:p w:rsidR="00D76EBF" w:rsidRPr="00D76EBF" w:rsidRDefault="00D76EBF" w:rsidP="00D76EBF">
      <w:pPr>
        <w:widowControl w:val="0"/>
        <w:autoSpaceDE w:val="0"/>
        <w:autoSpaceDN w:val="0"/>
        <w:adjustRightInd w:val="0"/>
        <w:spacing w:before="120" w:after="200" w:line="360" w:lineRule="auto"/>
        <w:textAlignment w:val="center"/>
        <w:rPr>
          <w:rFonts w:ascii="TimesNewRomanPSMT" w:hAnsi="TimesNewRomanPSMT" w:cs="TimesNewRomanPSMT"/>
          <w:color w:val="000000"/>
        </w:rPr>
      </w:pPr>
      <w:r w:rsidRPr="00D76EBF">
        <w:rPr>
          <w:rFonts w:ascii="TimesNewRomanPSMT" w:hAnsi="TimesNewRomanPSMT" w:cs="TimesNewRomanPSMT"/>
          <w:color w:val="000000"/>
        </w:rPr>
        <w:t>(Endnotes)</w:t>
      </w:r>
    </w:p>
    <w:p w:rsidR="00D76EBF" w:rsidRPr="00D76EBF" w:rsidRDefault="00D76EBF" w:rsidP="00D76EBF">
      <w:pPr>
        <w:widowControl w:val="0"/>
        <w:autoSpaceDE w:val="0"/>
        <w:autoSpaceDN w:val="0"/>
        <w:adjustRightInd w:val="0"/>
        <w:spacing w:after="200" w:line="288" w:lineRule="auto"/>
        <w:textAlignment w:val="center"/>
        <w:rPr>
          <w:rFonts w:ascii="TimesNewRomanPSMT" w:hAnsi="TimesNewRomanPSMT" w:cs="TimesNewRomanPSMT"/>
          <w:color w:val="000000"/>
        </w:rPr>
      </w:pPr>
      <w:r w:rsidRPr="00D76EBF">
        <w:rPr>
          <w:rFonts w:ascii="Calibri" w:hAnsi="Calibri" w:cs="Calibri"/>
          <w:color w:val="000000"/>
        </w:rPr>
        <w:t>1 </w:t>
      </w:r>
      <w:r w:rsidRPr="00D76EBF">
        <w:rPr>
          <w:rFonts w:ascii="TimesNewRomanPSMT" w:hAnsi="TimesNewRomanPSMT" w:cs="TimesNewRomanPSMT"/>
          <w:color w:val="000000"/>
        </w:rPr>
        <w:t xml:space="preserve">Ellen G. White, </w:t>
      </w:r>
      <w:r w:rsidRPr="00D76EBF">
        <w:rPr>
          <w:rFonts w:ascii="TimesNewRomanPS-ItalicMT" w:hAnsi="TimesNewRomanPS-ItalicMT" w:cs="TimesNewRomanPS-ItalicMT"/>
          <w:i/>
          <w:iCs/>
          <w:color w:val="000000"/>
        </w:rPr>
        <w:t>The Ministry of Healing</w:t>
      </w:r>
      <w:r w:rsidRPr="00D76EBF">
        <w:rPr>
          <w:rFonts w:ascii="TimesNewRomanPSMT" w:hAnsi="TimesNewRomanPSMT" w:cs="TimesNewRomanPSMT"/>
          <w:color w:val="000000"/>
        </w:rPr>
        <w:t xml:space="preserve"> (Mountain View, Calif.: Pacific Press Pub. Assn., 1905), p. 141.</w:t>
      </w:r>
    </w:p>
    <w:p w:rsidR="00D76EBF" w:rsidRPr="00D76EBF" w:rsidRDefault="00D76EBF" w:rsidP="00D76EBF">
      <w:pPr>
        <w:widowControl w:val="0"/>
        <w:autoSpaceDE w:val="0"/>
        <w:autoSpaceDN w:val="0"/>
        <w:adjustRightInd w:val="0"/>
        <w:spacing w:after="200" w:line="288" w:lineRule="auto"/>
        <w:textAlignment w:val="center"/>
        <w:rPr>
          <w:rFonts w:ascii="Calibri" w:hAnsi="Calibri" w:cs="Calibri"/>
          <w:color w:val="000000"/>
        </w:rPr>
      </w:pPr>
    </w:p>
    <w:p w:rsidR="00D76EBF" w:rsidRPr="00D76EBF" w:rsidRDefault="00D76EBF" w:rsidP="00D76EBF">
      <w:pPr>
        <w:widowControl w:val="0"/>
        <w:autoSpaceDE w:val="0"/>
        <w:autoSpaceDN w:val="0"/>
        <w:adjustRightInd w:val="0"/>
        <w:spacing w:after="200" w:line="288" w:lineRule="auto"/>
        <w:textAlignment w:val="center"/>
        <w:rPr>
          <w:rFonts w:ascii="TimesNewRomanPSMT" w:hAnsi="TimesNewRomanPSMT" w:cs="TimesNewRomanPSMT"/>
          <w:color w:val="000000"/>
        </w:rPr>
      </w:pPr>
      <w:r w:rsidRPr="00D76EBF">
        <w:rPr>
          <w:rFonts w:ascii="Calibri" w:hAnsi="Calibri" w:cs="Calibri"/>
          <w:color w:val="000000"/>
        </w:rPr>
        <w:t>2 </w:t>
      </w:r>
      <w:r w:rsidRPr="00D76EBF">
        <w:rPr>
          <w:rFonts w:ascii="TimesNewRomanPSMT" w:hAnsi="TimesNewRomanPSMT" w:cs="TimesNewRomanPSMT"/>
          <w:color w:val="000000"/>
        </w:rPr>
        <w:t xml:space="preserve">Martin Luther, </w:t>
      </w:r>
      <w:proofErr w:type="spellStart"/>
      <w:r w:rsidRPr="00D76EBF">
        <w:rPr>
          <w:rFonts w:ascii="TimesNewRomanPS-ItalicMT" w:hAnsi="TimesNewRomanPS-ItalicMT" w:cs="TimesNewRomanPS-ItalicMT"/>
          <w:i/>
          <w:iCs/>
          <w:color w:val="000000"/>
        </w:rPr>
        <w:t>Luthers</w:t>
      </w:r>
      <w:proofErr w:type="spellEnd"/>
      <w:r w:rsidRPr="00D76EBF">
        <w:rPr>
          <w:rFonts w:ascii="TimesNewRomanPS-ItalicMT" w:hAnsi="TimesNewRomanPS-ItalicMT" w:cs="TimesNewRomanPS-ItalicMT"/>
          <w:i/>
          <w:iCs/>
          <w:color w:val="000000"/>
        </w:rPr>
        <w:t xml:space="preserve"> </w:t>
      </w:r>
      <w:proofErr w:type="spellStart"/>
      <w:r w:rsidRPr="00D76EBF">
        <w:rPr>
          <w:rFonts w:ascii="TimesNewRomanPS-ItalicMT" w:hAnsi="TimesNewRomanPS-ItalicMT" w:cs="TimesNewRomanPS-ItalicMT"/>
          <w:i/>
          <w:iCs/>
          <w:color w:val="000000"/>
        </w:rPr>
        <w:t>Schriften</w:t>
      </w:r>
      <w:proofErr w:type="spellEnd"/>
      <w:r w:rsidRPr="00D76EBF">
        <w:rPr>
          <w:rFonts w:ascii="TimesNewRomanPS-ItalicMT" w:hAnsi="TimesNewRomanPS-ItalicMT" w:cs="TimesNewRomanPS-ItalicMT"/>
          <w:i/>
          <w:iCs/>
          <w:color w:val="000000"/>
        </w:rPr>
        <w:t xml:space="preserve">: Weimar Edition </w:t>
      </w:r>
      <w:r w:rsidRPr="00D76EBF">
        <w:rPr>
          <w:rFonts w:ascii="TimesNewRomanPSMT" w:hAnsi="TimesNewRomanPSMT" w:cs="TimesNewRomanPSMT"/>
          <w:color w:val="000000"/>
        </w:rPr>
        <w:t>(Stuttgart: Metzler, 2003), vol. 7, p. 25.</w:t>
      </w:r>
    </w:p>
    <w:p w:rsidR="00D76EBF" w:rsidRPr="00D76EBF" w:rsidRDefault="00D76EBF" w:rsidP="00D76EBF">
      <w:pPr>
        <w:widowControl w:val="0"/>
        <w:autoSpaceDE w:val="0"/>
        <w:autoSpaceDN w:val="0"/>
        <w:adjustRightInd w:val="0"/>
        <w:spacing w:after="200" w:line="288" w:lineRule="auto"/>
        <w:textAlignment w:val="center"/>
        <w:rPr>
          <w:rFonts w:ascii="Calibri" w:hAnsi="Calibri" w:cs="Calibri"/>
          <w:color w:val="000000"/>
        </w:rPr>
      </w:pPr>
    </w:p>
    <w:p w:rsidR="00D76EBF" w:rsidRPr="00D76EBF" w:rsidRDefault="00D76EBF" w:rsidP="00D76EBF">
      <w:pPr>
        <w:widowControl w:val="0"/>
        <w:autoSpaceDE w:val="0"/>
        <w:autoSpaceDN w:val="0"/>
        <w:adjustRightInd w:val="0"/>
        <w:spacing w:after="200" w:line="288" w:lineRule="auto"/>
        <w:textAlignment w:val="center"/>
        <w:rPr>
          <w:rFonts w:ascii="TimesNewRomanPSMT" w:hAnsi="TimesNewRomanPSMT" w:cs="TimesNewRomanPSMT"/>
          <w:color w:val="000000"/>
        </w:rPr>
      </w:pPr>
      <w:r w:rsidRPr="00D76EBF">
        <w:rPr>
          <w:rFonts w:ascii="Calibri" w:hAnsi="Calibri" w:cs="Calibri"/>
          <w:color w:val="000000"/>
        </w:rPr>
        <w:t>3 </w:t>
      </w:r>
      <w:r w:rsidRPr="00D76EBF">
        <w:rPr>
          <w:rFonts w:ascii="TimesNewRomanPSMT" w:hAnsi="TimesNewRomanPSMT" w:cs="TimesNewRomanPSMT"/>
          <w:color w:val="000000"/>
        </w:rPr>
        <w:t xml:space="preserve">Karl Barth, </w:t>
      </w:r>
      <w:r w:rsidRPr="00D76EBF">
        <w:rPr>
          <w:rFonts w:ascii="TimesNewRomanPS-ItalicMT" w:hAnsi="TimesNewRomanPS-ItalicMT" w:cs="TimesNewRomanPS-ItalicMT"/>
          <w:i/>
          <w:iCs/>
          <w:color w:val="000000"/>
        </w:rPr>
        <w:t xml:space="preserve">Church </w:t>
      </w:r>
      <w:proofErr w:type="spellStart"/>
      <w:r w:rsidRPr="00D76EBF">
        <w:rPr>
          <w:rFonts w:ascii="TimesNewRomanPS-ItalicMT" w:hAnsi="TimesNewRomanPS-ItalicMT" w:cs="TimesNewRomanPS-ItalicMT"/>
          <w:i/>
          <w:iCs/>
          <w:color w:val="000000"/>
        </w:rPr>
        <w:t>Dogmatics</w:t>
      </w:r>
      <w:proofErr w:type="spellEnd"/>
      <w:r w:rsidRPr="00D76EBF">
        <w:rPr>
          <w:rFonts w:ascii="TimesNewRomanPSMT" w:hAnsi="TimesNewRomanPSMT" w:cs="TimesNewRomanPSMT"/>
          <w:color w:val="000000"/>
        </w:rPr>
        <w:t xml:space="preserve"> (Edinburgh: T&amp;T Clark, 2009), Vol. IV.1, p. 211.</w:t>
      </w:r>
    </w:p>
    <w:p w:rsidR="00D76EBF" w:rsidRPr="00D76EBF" w:rsidRDefault="00D76EBF" w:rsidP="00D76EBF">
      <w:pPr>
        <w:widowControl w:val="0"/>
        <w:autoSpaceDE w:val="0"/>
        <w:autoSpaceDN w:val="0"/>
        <w:adjustRightInd w:val="0"/>
        <w:spacing w:after="200" w:line="288" w:lineRule="auto"/>
        <w:textAlignment w:val="center"/>
        <w:rPr>
          <w:rFonts w:ascii="Calibri" w:hAnsi="Calibri" w:cs="Calibri"/>
          <w:color w:val="000000"/>
        </w:rPr>
      </w:pPr>
    </w:p>
    <w:p w:rsidR="00D76EBF" w:rsidRPr="00D76EBF" w:rsidRDefault="00D76EBF" w:rsidP="00D76EBF">
      <w:pPr>
        <w:widowControl w:val="0"/>
        <w:autoSpaceDE w:val="0"/>
        <w:autoSpaceDN w:val="0"/>
        <w:adjustRightInd w:val="0"/>
        <w:spacing w:after="200" w:line="288" w:lineRule="auto"/>
        <w:textAlignment w:val="center"/>
        <w:rPr>
          <w:rFonts w:ascii="TimesNewRomanPSMT" w:hAnsi="TimesNewRomanPSMT" w:cs="TimesNewRomanPSMT"/>
          <w:color w:val="000000"/>
        </w:rPr>
      </w:pPr>
      <w:r w:rsidRPr="00D76EBF">
        <w:rPr>
          <w:rFonts w:ascii="Calibri" w:hAnsi="Calibri" w:cs="Calibri"/>
          <w:color w:val="000000"/>
        </w:rPr>
        <w:t>4 </w:t>
      </w:r>
      <w:r w:rsidRPr="00D76EBF">
        <w:rPr>
          <w:rFonts w:ascii="TimesNewRomanPSMT" w:hAnsi="TimesNewRomanPSMT" w:cs="TimesNewRomanPSMT"/>
          <w:color w:val="000000"/>
        </w:rPr>
        <w:t xml:space="preserve">Horst </w:t>
      </w:r>
      <w:proofErr w:type="spellStart"/>
      <w:r w:rsidRPr="00D76EBF">
        <w:rPr>
          <w:rFonts w:ascii="TimesNewRomanPSMT" w:hAnsi="TimesNewRomanPSMT" w:cs="TimesNewRomanPSMT"/>
          <w:color w:val="000000"/>
        </w:rPr>
        <w:t>Pöhlmann</w:t>
      </w:r>
      <w:proofErr w:type="spellEnd"/>
      <w:r w:rsidRPr="00D76EBF">
        <w:rPr>
          <w:rFonts w:ascii="TimesNewRomanPSMT" w:hAnsi="TimesNewRomanPSMT" w:cs="TimesNewRomanPSMT"/>
          <w:color w:val="000000"/>
        </w:rPr>
        <w:t xml:space="preserve">, </w:t>
      </w:r>
      <w:proofErr w:type="spellStart"/>
      <w:r w:rsidRPr="00D76EBF">
        <w:rPr>
          <w:rFonts w:ascii="TimesNewRomanPS-ItalicMT" w:hAnsi="TimesNewRomanPS-ItalicMT" w:cs="TimesNewRomanPS-ItalicMT"/>
          <w:i/>
          <w:iCs/>
          <w:color w:val="000000"/>
        </w:rPr>
        <w:t>Abriss</w:t>
      </w:r>
      <w:proofErr w:type="spellEnd"/>
      <w:r w:rsidRPr="00D76EBF">
        <w:rPr>
          <w:rFonts w:ascii="TimesNewRomanPS-ItalicMT" w:hAnsi="TimesNewRomanPS-ItalicMT" w:cs="TimesNewRomanPS-ItalicMT"/>
          <w:i/>
          <w:iCs/>
          <w:color w:val="000000"/>
        </w:rPr>
        <w:t xml:space="preserve"> der </w:t>
      </w:r>
      <w:proofErr w:type="spellStart"/>
      <w:r w:rsidRPr="00D76EBF">
        <w:rPr>
          <w:rFonts w:ascii="TimesNewRomanPS-ItalicMT" w:hAnsi="TimesNewRomanPS-ItalicMT" w:cs="TimesNewRomanPS-ItalicMT"/>
          <w:i/>
          <w:iCs/>
          <w:color w:val="000000"/>
        </w:rPr>
        <w:t>Dogmatik</w:t>
      </w:r>
      <w:proofErr w:type="spellEnd"/>
      <w:r w:rsidRPr="00D76EBF">
        <w:rPr>
          <w:rFonts w:ascii="TimesNewRomanPSMT" w:hAnsi="TimesNewRomanPSMT" w:cs="TimesNewRomanPSMT"/>
          <w:color w:val="000000"/>
        </w:rPr>
        <w:t xml:space="preserve"> (</w:t>
      </w:r>
      <w:proofErr w:type="spellStart"/>
      <w:r w:rsidRPr="00D76EBF">
        <w:rPr>
          <w:rFonts w:ascii="TimesNewRomanPSMT" w:hAnsi="TimesNewRomanPSMT" w:cs="TimesNewRomanPSMT"/>
          <w:color w:val="000000"/>
        </w:rPr>
        <w:t>Gütersloh</w:t>
      </w:r>
      <w:proofErr w:type="spellEnd"/>
      <w:r w:rsidRPr="00D76EBF">
        <w:rPr>
          <w:rFonts w:ascii="TimesNewRomanPSMT" w:hAnsi="TimesNewRomanPSMT" w:cs="TimesNewRomanPSMT"/>
          <w:color w:val="000000"/>
        </w:rPr>
        <w:t xml:space="preserve">: </w:t>
      </w:r>
      <w:proofErr w:type="spellStart"/>
      <w:r w:rsidRPr="00D76EBF">
        <w:rPr>
          <w:rFonts w:ascii="TimesNewRomanPSMT" w:hAnsi="TimesNewRomanPSMT" w:cs="TimesNewRomanPSMT"/>
          <w:color w:val="000000"/>
        </w:rPr>
        <w:t>Gütersloher</w:t>
      </w:r>
      <w:proofErr w:type="spellEnd"/>
      <w:r w:rsidRPr="00D76EBF">
        <w:rPr>
          <w:rFonts w:ascii="TimesNewRomanPSMT" w:hAnsi="TimesNewRomanPSMT" w:cs="TimesNewRomanPSMT"/>
          <w:color w:val="000000"/>
        </w:rPr>
        <w:t xml:space="preserve"> </w:t>
      </w:r>
      <w:proofErr w:type="spellStart"/>
      <w:r w:rsidRPr="00D76EBF">
        <w:rPr>
          <w:rFonts w:ascii="TimesNewRomanPSMT" w:hAnsi="TimesNewRomanPSMT" w:cs="TimesNewRomanPSMT"/>
          <w:color w:val="000000"/>
        </w:rPr>
        <w:t>Verlag</w:t>
      </w:r>
      <w:proofErr w:type="spellEnd"/>
      <w:r w:rsidRPr="00D76EBF">
        <w:rPr>
          <w:rFonts w:ascii="TimesNewRomanPSMT" w:hAnsi="TimesNewRomanPSMT" w:cs="TimesNewRomanPSMT"/>
          <w:color w:val="000000"/>
        </w:rPr>
        <w:t>, 1975), p. 185.</w:t>
      </w:r>
    </w:p>
    <w:p w:rsidR="00D76EBF" w:rsidRPr="00D76EBF" w:rsidRDefault="00D76EBF" w:rsidP="00D76EBF">
      <w:pPr>
        <w:widowControl w:val="0"/>
        <w:autoSpaceDE w:val="0"/>
        <w:autoSpaceDN w:val="0"/>
        <w:adjustRightInd w:val="0"/>
        <w:spacing w:after="200" w:line="288" w:lineRule="auto"/>
        <w:textAlignment w:val="center"/>
        <w:rPr>
          <w:rFonts w:ascii="Calibri" w:hAnsi="Calibri" w:cs="Calibri"/>
          <w:color w:val="000000"/>
        </w:rPr>
      </w:pPr>
    </w:p>
    <w:p w:rsidR="00D76EBF" w:rsidRPr="00D76EBF" w:rsidRDefault="00D76EBF" w:rsidP="00D76EBF">
      <w:pPr>
        <w:widowControl w:val="0"/>
        <w:autoSpaceDE w:val="0"/>
        <w:autoSpaceDN w:val="0"/>
        <w:adjustRightInd w:val="0"/>
        <w:spacing w:after="200" w:line="288" w:lineRule="auto"/>
        <w:textAlignment w:val="center"/>
        <w:rPr>
          <w:rFonts w:ascii="TimesNewRomanPSMT" w:hAnsi="TimesNewRomanPSMT" w:cs="TimesNewRomanPSMT"/>
          <w:color w:val="000000"/>
        </w:rPr>
      </w:pPr>
      <w:r w:rsidRPr="00D76EBF">
        <w:rPr>
          <w:rFonts w:ascii="Calibri" w:hAnsi="Calibri" w:cs="Calibri"/>
          <w:color w:val="000000"/>
        </w:rPr>
        <w:t>5 </w:t>
      </w:r>
      <w:r w:rsidRPr="00D76EBF">
        <w:rPr>
          <w:rFonts w:ascii="TimesNewRomanPSMT" w:hAnsi="TimesNewRomanPSMT" w:cs="TimesNewRomanPSMT"/>
          <w:color w:val="000000"/>
        </w:rPr>
        <w:t xml:space="preserve">Ellen G. White, </w:t>
      </w:r>
      <w:r w:rsidRPr="00D76EBF">
        <w:rPr>
          <w:rFonts w:ascii="TimesNewRomanPS-ItalicMT" w:hAnsi="TimesNewRomanPS-ItalicMT" w:cs="TimesNewRomanPS-ItalicMT"/>
          <w:i/>
          <w:iCs/>
          <w:color w:val="000000"/>
        </w:rPr>
        <w:t>The Desire of Ages</w:t>
      </w:r>
      <w:r w:rsidRPr="00D76EBF">
        <w:rPr>
          <w:rFonts w:ascii="TimesNewRomanPSMT" w:hAnsi="TimesNewRomanPSMT" w:cs="TimesNewRomanPSMT"/>
          <w:color w:val="000000"/>
        </w:rPr>
        <w:t xml:space="preserve"> (Mountain View, Calif.: Pacific Press Pub. Assn., 1898), p. 823.</w:t>
      </w:r>
    </w:p>
    <w:p w:rsidR="00D76EBF" w:rsidRPr="00D76EBF" w:rsidRDefault="00D76EBF" w:rsidP="00D76EBF">
      <w:pPr>
        <w:widowControl w:val="0"/>
        <w:autoSpaceDE w:val="0"/>
        <w:autoSpaceDN w:val="0"/>
        <w:adjustRightInd w:val="0"/>
        <w:spacing w:after="200" w:line="288" w:lineRule="auto"/>
        <w:textAlignment w:val="center"/>
        <w:rPr>
          <w:rFonts w:ascii="Calibri" w:hAnsi="Calibri" w:cs="Calibri"/>
          <w:color w:val="000000"/>
        </w:rPr>
      </w:pPr>
    </w:p>
    <w:p w:rsidR="00D76EBF" w:rsidRPr="00D76EBF" w:rsidRDefault="00D76EBF" w:rsidP="00D76EBF">
      <w:pPr>
        <w:widowControl w:val="0"/>
        <w:autoSpaceDE w:val="0"/>
        <w:autoSpaceDN w:val="0"/>
        <w:adjustRightInd w:val="0"/>
        <w:spacing w:after="200" w:line="288" w:lineRule="auto"/>
        <w:textAlignment w:val="center"/>
        <w:rPr>
          <w:rFonts w:ascii="TimesNewRomanPSMT" w:hAnsi="TimesNewRomanPSMT" w:cs="TimesNewRomanPSMT"/>
          <w:color w:val="000000"/>
        </w:rPr>
      </w:pPr>
      <w:r w:rsidRPr="00D76EBF">
        <w:rPr>
          <w:rFonts w:ascii="Calibri" w:hAnsi="Calibri" w:cs="Calibri"/>
          <w:color w:val="000000"/>
        </w:rPr>
        <w:t>6 </w:t>
      </w:r>
      <w:r w:rsidRPr="00D76EBF">
        <w:rPr>
          <w:rFonts w:ascii="TimesNewRomanPSMT" w:hAnsi="TimesNewRomanPSMT" w:cs="TimesNewRomanPSMT"/>
          <w:color w:val="000000"/>
        </w:rPr>
        <w:t xml:space="preserve">Rolf Luther, </w:t>
      </w:r>
      <w:proofErr w:type="spellStart"/>
      <w:r w:rsidRPr="00D76EBF">
        <w:rPr>
          <w:rFonts w:ascii="TimesNewRomanPS-ItalicMT" w:hAnsi="TimesNewRomanPS-ItalicMT" w:cs="TimesNewRomanPS-ItalicMT"/>
          <w:i/>
          <w:iCs/>
          <w:color w:val="000000"/>
        </w:rPr>
        <w:t>Neutestamentliches</w:t>
      </w:r>
      <w:proofErr w:type="spellEnd"/>
      <w:r w:rsidRPr="00D76EBF">
        <w:rPr>
          <w:rFonts w:ascii="TimesNewRomanPS-ItalicMT" w:hAnsi="TimesNewRomanPS-ItalicMT" w:cs="TimesNewRomanPS-ItalicMT"/>
          <w:i/>
          <w:iCs/>
          <w:color w:val="000000"/>
        </w:rPr>
        <w:t xml:space="preserve"> </w:t>
      </w:r>
      <w:proofErr w:type="spellStart"/>
      <w:r w:rsidRPr="00D76EBF">
        <w:rPr>
          <w:rFonts w:ascii="TimesNewRomanPS-ItalicMT" w:hAnsi="TimesNewRomanPS-ItalicMT" w:cs="TimesNewRomanPS-ItalicMT"/>
          <w:i/>
          <w:iCs/>
          <w:color w:val="000000"/>
        </w:rPr>
        <w:t>Wörterbuch</w:t>
      </w:r>
      <w:proofErr w:type="spellEnd"/>
      <w:r w:rsidRPr="00D76EBF">
        <w:rPr>
          <w:rFonts w:ascii="TimesNewRomanPSMT" w:hAnsi="TimesNewRomanPSMT" w:cs="TimesNewRomanPSMT"/>
          <w:color w:val="000000"/>
        </w:rPr>
        <w:t xml:space="preserve"> (Hamburg: </w:t>
      </w:r>
      <w:proofErr w:type="spellStart"/>
      <w:r w:rsidRPr="00D76EBF">
        <w:rPr>
          <w:rFonts w:ascii="TimesNewRomanPSMT" w:hAnsi="TimesNewRomanPSMT" w:cs="TimesNewRomanPSMT"/>
          <w:color w:val="000000"/>
        </w:rPr>
        <w:t>Furche</w:t>
      </w:r>
      <w:proofErr w:type="spellEnd"/>
      <w:r w:rsidRPr="00D76EBF">
        <w:rPr>
          <w:rFonts w:ascii="TimesNewRomanPSMT" w:hAnsi="TimesNewRomanPSMT" w:cs="TimesNewRomanPSMT"/>
          <w:color w:val="000000"/>
        </w:rPr>
        <w:t xml:space="preserve"> </w:t>
      </w:r>
      <w:proofErr w:type="spellStart"/>
      <w:r w:rsidRPr="00D76EBF">
        <w:rPr>
          <w:rFonts w:ascii="TimesNewRomanPSMT" w:hAnsi="TimesNewRomanPSMT" w:cs="TimesNewRomanPSMT"/>
          <w:color w:val="000000"/>
        </w:rPr>
        <w:t>Verlag</w:t>
      </w:r>
      <w:proofErr w:type="spellEnd"/>
      <w:r w:rsidRPr="00D76EBF">
        <w:rPr>
          <w:rFonts w:ascii="TimesNewRomanPSMT" w:hAnsi="TimesNewRomanPSMT" w:cs="TimesNewRomanPSMT"/>
          <w:color w:val="000000"/>
        </w:rPr>
        <w:t>, 1963), p. 95.</w:t>
      </w:r>
    </w:p>
    <w:p w:rsidR="00D76EBF" w:rsidRPr="00D76EBF" w:rsidRDefault="00D76EBF" w:rsidP="00D76EBF">
      <w:pPr>
        <w:widowControl w:val="0"/>
        <w:autoSpaceDE w:val="0"/>
        <w:autoSpaceDN w:val="0"/>
        <w:adjustRightInd w:val="0"/>
        <w:spacing w:after="200" w:line="288" w:lineRule="auto"/>
        <w:textAlignment w:val="center"/>
        <w:rPr>
          <w:rFonts w:ascii="Calibri" w:hAnsi="Calibri" w:cs="Calibri"/>
          <w:color w:val="000000"/>
        </w:rPr>
      </w:pPr>
    </w:p>
    <w:p w:rsidR="00D76EBF" w:rsidRPr="00D76EBF" w:rsidRDefault="00D76EBF" w:rsidP="00D76EBF">
      <w:pPr>
        <w:widowControl w:val="0"/>
        <w:autoSpaceDE w:val="0"/>
        <w:autoSpaceDN w:val="0"/>
        <w:adjustRightInd w:val="0"/>
        <w:spacing w:after="200" w:line="288" w:lineRule="auto"/>
        <w:textAlignment w:val="center"/>
        <w:rPr>
          <w:rFonts w:ascii="TimesNewRomanPSMT" w:hAnsi="TimesNewRomanPSMT" w:cs="TimesNewRomanPSMT"/>
          <w:color w:val="000000"/>
        </w:rPr>
      </w:pPr>
      <w:r w:rsidRPr="00D76EBF">
        <w:rPr>
          <w:rFonts w:ascii="Calibri" w:hAnsi="Calibri" w:cs="Calibri"/>
          <w:color w:val="000000"/>
        </w:rPr>
        <w:t>7 </w:t>
      </w:r>
      <w:r w:rsidRPr="00D76EBF">
        <w:rPr>
          <w:rFonts w:ascii="TimesNewRomanPSMT" w:hAnsi="TimesNewRomanPSMT" w:cs="TimesNewRomanPSMT"/>
          <w:color w:val="000000"/>
        </w:rPr>
        <w:t>Barth, p. 523.</w:t>
      </w:r>
    </w:p>
    <w:p w:rsidR="00D76EBF" w:rsidRPr="00D76EBF" w:rsidRDefault="00D76EBF" w:rsidP="00D76EBF">
      <w:pPr>
        <w:widowControl w:val="0"/>
        <w:autoSpaceDE w:val="0"/>
        <w:autoSpaceDN w:val="0"/>
        <w:adjustRightInd w:val="0"/>
        <w:spacing w:after="200" w:line="288" w:lineRule="auto"/>
        <w:textAlignment w:val="center"/>
        <w:rPr>
          <w:rFonts w:ascii="Calibri" w:hAnsi="Calibri" w:cs="Calibri"/>
          <w:color w:val="000000"/>
        </w:rPr>
      </w:pPr>
    </w:p>
    <w:p w:rsidR="00D76EBF" w:rsidRPr="00D76EBF" w:rsidRDefault="00D76EBF" w:rsidP="00D76EBF">
      <w:pPr>
        <w:widowControl w:val="0"/>
        <w:autoSpaceDE w:val="0"/>
        <w:autoSpaceDN w:val="0"/>
        <w:adjustRightInd w:val="0"/>
        <w:spacing w:after="200" w:line="288" w:lineRule="auto"/>
        <w:textAlignment w:val="center"/>
        <w:rPr>
          <w:rFonts w:ascii="TimesNewRomanPSMT" w:hAnsi="TimesNewRomanPSMT" w:cs="TimesNewRomanPSMT"/>
          <w:color w:val="000000"/>
        </w:rPr>
      </w:pPr>
      <w:r w:rsidRPr="00D76EBF">
        <w:rPr>
          <w:rFonts w:ascii="Calibri" w:hAnsi="Calibri" w:cs="Calibri"/>
          <w:color w:val="000000"/>
        </w:rPr>
        <w:t>8 </w:t>
      </w:r>
      <w:r w:rsidRPr="00D76EBF">
        <w:rPr>
          <w:rFonts w:ascii="TimesNewRomanPSMT" w:hAnsi="TimesNewRomanPSMT" w:cs="TimesNewRomanPSMT"/>
          <w:color w:val="000000"/>
        </w:rPr>
        <w:t xml:space="preserve">Tertullian </w:t>
      </w:r>
      <w:r w:rsidRPr="00D76EBF">
        <w:rPr>
          <w:rFonts w:ascii="TimesNewRomanPS-ItalicMT" w:hAnsi="TimesNewRomanPS-ItalicMT" w:cs="TimesNewRomanPS-ItalicMT"/>
          <w:i/>
          <w:iCs/>
          <w:color w:val="000000"/>
        </w:rPr>
        <w:t xml:space="preserve">De </w:t>
      </w:r>
      <w:proofErr w:type="spellStart"/>
      <w:r w:rsidRPr="00D76EBF">
        <w:rPr>
          <w:rFonts w:ascii="TimesNewRomanPS-ItalicMT" w:hAnsi="TimesNewRomanPS-ItalicMT" w:cs="TimesNewRomanPS-ItalicMT"/>
          <w:i/>
          <w:iCs/>
          <w:color w:val="000000"/>
        </w:rPr>
        <w:t>poenitentia</w:t>
      </w:r>
      <w:proofErr w:type="spellEnd"/>
      <w:r w:rsidRPr="00D76EBF">
        <w:rPr>
          <w:rFonts w:ascii="TimesNewRomanPS-ItalicMT" w:hAnsi="TimesNewRomanPS-ItalicMT" w:cs="TimesNewRomanPS-ItalicMT"/>
          <w:i/>
          <w:iCs/>
          <w:color w:val="000000"/>
        </w:rPr>
        <w:t xml:space="preserve"> </w:t>
      </w:r>
      <w:r w:rsidRPr="00D76EBF">
        <w:rPr>
          <w:rFonts w:ascii="TimesNewRomanPSMT" w:hAnsi="TimesNewRomanPSMT" w:cs="TimesNewRomanPSMT"/>
          <w:color w:val="000000"/>
        </w:rPr>
        <w:t>6.</w:t>
      </w:r>
    </w:p>
    <w:p w:rsidR="00D76EBF" w:rsidRPr="00D76EBF" w:rsidRDefault="00D76EBF" w:rsidP="00D76EBF">
      <w:pPr>
        <w:widowControl w:val="0"/>
        <w:autoSpaceDE w:val="0"/>
        <w:autoSpaceDN w:val="0"/>
        <w:adjustRightInd w:val="0"/>
        <w:spacing w:after="200" w:line="288" w:lineRule="auto"/>
        <w:textAlignment w:val="center"/>
        <w:rPr>
          <w:rFonts w:ascii="Calibri" w:hAnsi="Calibri" w:cs="Calibri"/>
          <w:color w:val="000000"/>
        </w:rPr>
      </w:pPr>
    </w:p>
    <w:p w:rsidR="00D76EBF" w:rsidRPr="00D76EBF" w:rsidRDefault="00D76EBF" w:rsidP="00D76EBF">
      <w:pPr>
        <w:widowControl w:val="0"/>
        <w:autoSpaceDE w:val="0"/>
        <w:autoSpaceDN w:val="0"/>
        <w:adjustRightInd w:val="0"/>
        <w:spacing w:after="200" w:line="288" w:lineRule="auto"/>
        <w:textAlignment w:val="center"/>
        <w:rPr>
          <w:rFonts w:ascii="TimesNewRomanPSMT" w:hAnsi="TimesNewRomanPSMT" w:cs="TimesNewRomanPSMT"/>
          <w:color w:val="000000"/>
        </w:rPr>
      </w:pPr>
      <w:r w:rsidRPr="00D76EBF">
        <w:rPr>
          <w:rFonts w:ascii="Calibri" w:hAnsi="Calibri" w:cs="Calibri"/>
          <w:color w:val="000000"/>
        </w:rPr>
        <w:t>9 </w:t>
      </w:r>
      <w:r w:rsidRPr="00D76EBF">
        <w:rPr>
          <w:rFonts w:ascii="TimesNewRomanPSMT" w:hAnsi="TimesNewRomanPSMT" w:cs="TimesNewRomanPSMT"/>
          <w:color w:val="000000"/>
        </w:rPr>
        <w:t xml:space="preserve">Martin Luther, </w:t>
      </w:r>
      <w:proofErr w:type="spellStart"/>
      <w:r w:rsidRPr="00D76EBF">
        <w:rPr>
          <w:rFonts w:ascii="TimesNewRomanPS-ItalicMT" w:hAnsi="TimesNewRomanPS-ItalicMT" w:cs="TimesNewRomanPS-ItalicMT"/>
          <w:i/>
          <w:iCs/>
          <w:color w:val="000000"/>
        </w:rPr>
        <w:t>Luthers</w:t>
      </w:r>
      <w:proofErr w:type="spellEnd"/>
      <w:r w:rsidRPr="00D76EBF">
        <w:rPr>
          <w:rFonts w:ascii="TimesNewRomanPS-ItalicMT" w:hAnsi="TimesNewRomanPS-ItalicMT" w:cs="TimesNewRomanPS-ItalicMT"/>
          <w:i/>
          <w:iCs/>
          <w:color w:val="000000"/>
        </w:rPr>
        <w:t xml:space="preserve"> </w:t>
      </w:r>
      <w:proofErr w:type="spellStart"/>
      <w:r w:rsidRPr="00D76EBF">
        <w:rPr>
          <w:rFonts w:ascii="TimesNewRomanPS-ItalicMT" w:hAnsi="TimesNewRomanPS-ItalicMT" w:cs="TimesNewRomanPS-ItalicMT"/>
          <w:i/>
          <w:iCs/>
          <w:color w:val="000000"/>
        </w:rPr>
        <w:t>Schriften</w:t>
      </w:r>
      <w:proofErr w:type="spellEnd"/>
      <w:r w:rsidRPr="00D76EBF">
        <w:rPr>
          <w:rFonts w:ascii="TimesNewRomanPS-ItalicMT" w:hAnsi="TimesNewRomanPS-ItalicMT" w:cs="TimesNewRomanPS-ItalicMT"/>
          <w:i/>
          <w:iCs/>
          <w:color w:val="000000"/>
        </w:rPr>
        <w:t xml:space="preserve">: Weimar Edition </w:t>
      </w:r>
      <w:r w:rsidRPr="00D76EBF">
        <w:rPr>
          <w:rFonts w:ascii="TimesNewRomanPSMT" w:hAnsi="TimesNewRomanPSMT" w:cs="TimesNewRomanPSMT"/>
          <w:color w:val="000000"/>
        </w:rPr>
        <w:t>(Stuttgart: Metzler, 2004), vol. 13, p. 570.</w:t>
      </w:r>
    </w:p>
    <w:p w:rsidR="00D013C3" w:rsidRDefault="00D013C3"/>
    <w:sectPr w:rsidR="00D013C3" w:rsidSect="00D76EB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BF"/>
    <w:rsid w:val="00153AEB"/>
    <w:rsid w:val="00D013C3"/>
    <w:rsid w:val="00D76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1A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
    <w:name w:val="Endnote text"/>
    <w:basedOn w:val="Normal"/>
    <w:uiPriority w:val="99"/>
    <w:rsid w:val="00D76EBF"/>
    <w:pPr>
      <w:widowControl w:val="0"/>
      <w:autoSpaceDE w:val="0"/>
      <w:autoSpaceDN w:val="0"/>
      <w:adjustRightInd w:val="0"/>
      <w:spacing w:after="200" w:line="288" w:lineRule="auto"/>
      <w:textAlignment w:val="center"/>
    </w:pPr>
    <w:rPr>
      <w:rFonts w:ascii="Calibri" w:hAnsi="Calibri" w:cs="Calibri"/>
      <w:color w:val="000000"/>
    </w:rPr>
  </w:style>
  <w:style w:type="character" w:customStyle="1" w:styleId="Endnotereference">
    <w:name w:val="Endnote reference"/>
    <w:uiPriority w:val="99"/>
    <w:rsid w:val="00D76EBF"/>
    <w:rPr>
      <w:w w:val="100"/>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
    <w:name w:val="Endnote text"/>
    <w:basedOn w:val="Normal"/>
    <w:uiPriority w:val="99"/>
    <w:rsid w:val="00D76EBF"/>
    <w:pPr>
      <w:widowControl w:val="0"/>
      <w:autoSpaceDE w:val="0"/>
      <w:autoSpaceDN w:val="0"/>
      <w:adjustRightInd w:val="0"/>
      <w:spacing w:after="200" w:line="288" w:lineRule="auto"/>
      <w:textAlignment w:val="center"/>
    </w:pPr>
    <w:rPr>
      <w:rFonts w:ascii="Calibri" w:hAnsi="Calibri" w:cs="Calibri"/>
      <w:color w:val="000000"/>
    </w:rPr>
  </w:style>
  <w:style w:type="character" w:customStyle="1" w:styleId="Endnotereference">
    <w:name w:val="Endnote reference"/>
    <w:uiPriority w:val="99"/>
    <w:rsid w:val="00D76EBF"/>
    <w:rPr>
      <w:w w:val="1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1044</Words>
  <Characters>5953</Characters>
  <Application>Microsoft Macintosh Word</Application>
  <DocSecurity>0</DocSecurity>
  <Lines>49</Lines>
  <Paragraphs>13</Paragraphs>
  <ScaleCrop>false</ScaleCrop>
  <Company>GC of SDA - Adventist Review</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Poirier</dc:creator>
  <cp:keywords/>
  <dc:description/>
  <cp:lastModifiedBy>Merle Poirier</cp:lastModifiedBy>
  <cp:revision>1</cp:revision>
  <dcterms:created xsi:type="dcterms:W3CDTF">2017-02-09T14:36:00Z</dcterms:created>
  <dcterms:modified xsi:type="dcterms:W3CDTF">2017-02-09T14:37:00Z</dcterms:modified>
</cp:coreProperties>
</file>